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计算机视觉度量</w:t>
      </w:r>
    </w:p>
    <w:p>
      <w:r>
        <w:rPr>
          <w:rFonts w:ascii="宋体" w:hAnsi="宋体" w:eastAsia="宋体"/>
          <w:sz w:val="24"/>
        </w:rPr>
        <w:t>（美）斯科特·克里格（ScottKrig）著；刘波，罗棻译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（美）斯科特·克里格（ScottKrig）著；刘波，罗棻译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本书出售、求购地址：https://www.jiaokey.com/book/detail/14645047.html</w:t>
      </w:r>
    </w:p>
    <w:p>
      <w:r>
        <w:t>更多相关图书推荐：https://www.jiaokey.com</w:t>
      </w:r>
    </w:p>
    <w:p>
      <w:r>
        <w:t>（美）斯科特·克里格（ScottKrig）著；刘波，罗棻译 其他作品：https://www.jiaokey.com/tag/（美）斯科特·克里格（ScottKrig）著；刘波，罗棻译.html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关键词搜索：https://www.jiaokey.com/tag/计算机视觉度量.html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