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《综合防控儿童青少年近视实施方案》解读</w:t>
      </w:r>
    </w:p>
    <w:p>
      <w:r>
        <w:rPr>
          <w:rFonts w:ascii="宋体" w:hAnsi="宋体" w:eastAsia="宋体"/>
          <w:sz w:val="24"/>
        </w:rPr>
        <w:t>吕帆，瞿佳主编；毛欣杰，吕帆，刘新婷，李明等编委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《综合防控儿童青少年近视实施方案》解读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吕帆，瞿佳主编；毛欣杰，吕帆，刘新婷，李明等编委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本书出售、求购地址：https://www.jiaokey.com/book/detail/14643787.html</w:t>
      </w:r>
    </w:p>
    <w:p>
      <w:r>
        <w:t>更多相关图书推荐：https://www.jiaokey.com</w:t>
      </w:r>
    </w:p>
    <w:p>
      <w:r>
        <w:t>吕帆，瞿佳主编；毛欣杰，吕帆，刘新婷，李明等编委 其他作品：https://www.jiaokey.com/tag/吕帆，瞿佳主编；毛欣杰，吕帆，刘新婷，李明等编委.html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关键词搜索：https://www.jiaokey.com/tag/《综合防控儿童青少年近视实施方案》解读.html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