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智元设计思维丛书  斯坦福设计思维课  5  场景与应用</w:t>
      </w:r>
    </w:p>
    <w:p>
      <w:r>
        <w:rPr>
          <w:rFonts w:ascii="宋体" w:hAnsi="宋体" w:eastAsia="宋体"/>
          <w:sz w:val="24"/>
        </w:rPr>
        <w:t>安瓦，张翔，段晓鑫，潘娜译；王振杰责任编辑；（德）哈索·普拉特纳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智元设计思维丛书  斯坦福设计思维课  5  场景与应用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安瓦，张翔，段晓鑫，潘娜译；王振杰责任编辑；（德）哈索·普拉特纳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本书出售、求购地址：https://www.jiaokey.com/book/detail/14643736.html</w:t>
      </w:r>
    </w:p>
    <w:p>
      <w:r>
        <w:t>更多相关图书推荐：https://www.jiaokey.com</w:t>
      </w:r>
    </w:p>
    <w:p>
      <w:r>
        <w:t>安瓦，张翔，段晓鑫，潘娜译；王振杰责任编辑；（德）哈索·普拉特纳 其他作品：https://www.jiaokey.com/tag/安瓦，张翔，段晓鑫，潘娜译；王振杰责任编辑；（德）哈索·普拉特纳.html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关键词搜索：https://www.jiaokey.com/tag/智元设计思维丛书  斯坦福设计思维课  5  场景与应用.html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