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思维导图应用实战</w:t>
      </w:r>
    </w:p>
    <w:p>
      <w:r>
        <w:rPr>
          <w:rFonts w:ascii="宋体" w:hAnsi="宋体" w:eastAsia="宋体"/>
          <w:sz w:val="24"/>
        </w:rPr>
        <w:t>（法）格扎维埃·德伦盖尼（XavierDelengaigne）著；（法）路易斯·加西亚（LuisGarcia）绘；夏羽译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思维导图应用实战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（法）格扎维埃·德伦盖尼（XavierDelengaigne）著；（法）路易斯·加西亚（LuisGarcia）绘；夏羽译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本书出售、求购地址：https://www.jiaokey.com/book/detail/14643735.html</w:t>
      </w:r>
    </w:p>
    <w:p>
      <w:r>
        <w:t>更多相关图书推荐：https://www.jiaokey.com</w:t>
      </w:r>
    </w:p>
    <w:p>
      <w:r>
        <w:t>（法）格扎维埃·德伦盖尼（XavierDelengaigne）著；（法）路易斯·加西亚（LuisGarcia）绘；夏羽译 其他作品：https://www.jiaokey.com/tag/（法）格扎维埃·德伦盖尼（XavierDelengaigne）著；（法）路易斯·加西亚（LuisGarcia）绘；夏羽译.html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关键词搜索：https://www.jiaokey.com/tag/思维导图应用实战.html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