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国家形象和人类命运的多维表达</w:t>
      </w:r>
    </w:p>
    <w:p>
      <w:r>
        <w:rPr>
          <w:rFonts w:ascii="宋体" w:hAnsi="宋体" w:eastAsia="宋体"/>
          <w:sz w:val="24"/>
        </w:rPr>
        <w:t>董卫星主编；程雪松，汪宁，董春欣，葛天卿副主编；汪大伟策划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国家形象和人类命运的多维表达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董卫星主编；程雪松，汪宁，董春欣，葛天卿副主编；汪大伟策划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本书出售、求购地址：https://www.jiaokey.com/book/detail/14643699.html</w:t>
      </w:r>
    </w:p>
    <w:p>
      <w:r>
        <w:t>更多相关图书推荐：https://www.jiaokey.com</w:t>
      </w:r>
    </w:p>
    <w:p>
      <w:r>
        <w:t>董卫星主编；程雪松，汪宁，董春欣，葛天卿副主编；汪大伟策划 其他作品：https://www.jiaokey.com/tag/董卫星主编；程雪松，汪宁，董春欣，葛天卿副主编；汪大伟策划.html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关键词搜索：https://www.jiaokey.com/tag/国家形象和人类命运的多维表达.html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