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</w:t>
      </w:r>
    </w:p>
    <w:p>
      <w:r>
        <w:rPr>
          <w:rFonts w:ascii="宋体" w:hAnsi="宋体" w:eastAsia="宋体"/>
          <w:sz w:val="24"/>
        </w:rPr>
        <w:t>（俄）安东·巴普洛维奇·契诃夫著；朱宪生，冯加等译；董晓选编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（俄）安东·巴普洛维奇·契诃夫著；朱宪生，冯加等译；董晓选编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本书出售、求购地址：https://www.jiaokey.com/book/detail/14642867.html</w:t>
      </w:r>
    </w:p>
    <w:p>
      <w:r>
        <w:t>更多相关图书推荐：https://www.jiaokey.com</w:t>
      </w:r>
    </w:p>
    <w:p>
      <w:r>
        <w:t>（俄）安东·巴普洛维奇·契诃夫著；朱宪生，冯加等译；董晓选编 其他作品：https://www.jiaokey.com/tag/（俄）安东·巴普洛维奇·契诃夫著；朱宪生，冯加等译；董晓选编.html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关键词搜索：https://www.jiaokey.com/tag/契诃夫短篇小说选.html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