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思想政治理论红宝书逻辑图解  2013</w:t>
      </w:r>
    </w:p>
    <w:p>
      <w:r>
        <w:rPr>
          <w:rFonts w:ascii="宋体" w:hAnsi="宋体" w:eastAsia="宋体"/>
          <w:sz w:val="24"/>
        </w:rPr>
        <w:t>徐之明主编；汪云生，刘万达，陈文广，杜鹏程，萧立，鲁易君，陈天健，徐之明著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思想政治理论红宝书逻辑图解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徐之明主编；汪云生，刘万达，陈文广，杜鹏程，萧立，鲁易君，陈天健，徐之明著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本书出售、求购地址：https://www.jiaokey.com/book/detail/14642409.html</w:t>
      </w:r>
    </w:p>
    <w:p>
      <w:r>
        <w:t>更多相关图书推荐：https://www.jiaokey.com</w:t>
      </w:r>
    </w:p>
    <w:p>
      <w:r>
        <w:t>徐之明主编；汪云生，刘万达，陈文广，杜鹏程，萧立，鲁易君，陈天健，徐之明著 其他作品：https://www.jiaokey.com/tag/徐之明主编；汪云生，刘万达，陈文广，杜鹏程，萧立，鲁易君，陈天健，徐之明著.html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关键词搜索：https://www.jiaokey.com/tag/思想政治理论红宝书逻辑图解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