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饥饿之屋</w:t>
      </w:r>
    </w:p>
    <w:p>
      <w:r>
        <w:rPr>
          <w:rFonts w:ascii="宋体" w:hAnsi="宋体" w:eastAsia="宋体"/>
          <w:sz w:val="24"/>
        </w:rPr>
        <w:t>（津巴布韦）丹布达佐·马瑞彻拉著；赵玥译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（津巴布韦）丹布达佐·马瑞彻拉著；赵玥译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本书出售、求购地址：https://www.jiaokey.com/book/detail/14637844.html</w:t>
      </w:r>
    </w:p>
    <w:p>
      <w:r>
        <w:t>更多相关图书推荐：https://www.jiaokey.com</w:t>
      </w:r>
    </w:p>
    <w:p>
      <w:r>
        <w:t>（津巴布韦）丹布达佐·马瑞彻拉著；赵玥译 其他作品：https://www.jiaokey.com/tag/（津巴布韦）丹布达佐·马瑞彻拉著；赵玥译.html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关键词搜索：https://www.jiaokey.com/tag/饥饿之屋.html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