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安徽省气象灾害风险区划方法与实践</w:t>
      </w:r>
    </w:p>
    <w:p>
      <w:r>
        <w:rPr>
          <w:rFonts w:ascii="宋体" w:hAnsi="宋体" w:eastAsia="宋体"/>
          <w:sz w:val="24"/>
        </w:rPr>
        <w:t>田红，谢五三，卢燕宇，唐为安，王胜，温华洋，程向阳，鲁俊，陶寅，戴娟编著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安徽省气象灾害风险区划方法与实践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田红，谢五三，卢燕宇，唐为安，王胜，温华洋，程向阳，鲁俊，陶寅，戴娟编著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本书出售、求购地址：https://www.jiaokey.com/book/detail/14636603.html</w:t>
      </w:r>
    </w:p>
    <w:p>
      <w:r>
        <w:t>更多相关图书推荐：https://www.jiaokey.com</w:t>
      </w:r>
    </w:p>
    <w:p>
      <w:r>
        <w:t>田红，谢五三，卢燕宇，唐为安，王胜，温华洋，程向阳，鲁俊，陶寅，戴娟编著 其他作品：https://www.jiaokey.com/tag/田红，谢五三，卢燕宇，唐为安，王胜，温华洋，程向阳，鲁俊，陶寅，戴娟编著.html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关键词搜索：https://www.jiaokey.com/tag/安徽省气象灾害风险区划方法与实践.html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