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为什么需要生物学思维</w:t>
      </w:r>
    </w:p>
    <w:p>
      <w:r>
        <w:rPr>
          <w:rFonts w:ascii="宋体" w:hAnsi="宋体" w:eastAsia="宋体"/>
          <w:sz w:val="24"/>
        </w:rPr>
        <w:t>贾拥民译；王子涵，卢云艳责任编辑；（美）塞缪尔·阿贝斯曼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为什么需要生物学思维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贾拥民译；王子涵，卢云艳责任编辑；（美）塞缪尔·阿贝斯曼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本书出售、求购地址：https://www.jiaokey.com/book/detail/14635507.html</w:t>
      </w:r>
    </w:p>
    <w:p>
      <w:r>
        <w:t>更多相关图书推荐：https://www.jiaokey.com</w:t>
      </w:r>
    </w:p>
    <w:p>
      <w:r>
        <w:t>贾拥民译；王子涵，卢云艳责任编辑；（美）塞缪尔·阿贝斯曼 其他作品：https://www.jiaokey.com/tag/贾拥民译；王子涵，卢云艳责任编辑；（美）塞缪尔·阿贝斯曼.html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关键词搜索：https://www.jiaokey.com/tag/为什么需要生物学思维.html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