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水利水电工程移民安置实施四大关系</w:t>
      </w:r>
    </w:p>
    <w:p>
      <w:r>
        <w:rPr>
          <w:rFonts w:ascii="宋体" w:hAnsi="宋体" w:eastAsia="宋体"/>
          <w:sz w:val="24"/>
        </w:rPr>
        <w:t>张谷，都勤，李庆友，刘焕永，余琳等著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水利水电工程移民安置实施四大关系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张谷，都勤，李庆友，刘焕永，余琳等著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本书出售、求购地址：https://www.jiaokey.com/book/detail/14635342.html</w:t>
      </w:r>
    </w:p>
    <w:p>
      <w:r>
        <w:t>更多相关图书推荐：https://www.jiaokey.com</w:t>
      </w:r>
    </w:p>
    <w:p>
      <w:r>
        <w:t>张谷，都勤，李庆友，刘焕永，余琳等著 其他作品：https://www.jiaokey.com/tag/张谷，都勤，李庆友，刘焕永，余琳等著.html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关键词搜索：https://www.jiaokey.com/tag/水利水电工程移民安置实施四大关系.html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