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CC中文全彩铂金版案例教程</w:t>
      </w:r>
    </w:p>
    <w:p>
      <w:r>
        <w:rPr>
          <w:rFonts w:ascii="宋体" w:hAnsi="宋体" w:eastAsia="宋体"/>
          <w:sz w:val="24"/>
        </w:rPr>
        <w:t>姚冲，暴秋实，黄佳俊主编；李沅蓉，周艳华副主编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CC中文全彩铂金版案例教程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姚冲，暴秋实，黄佳俊主编；李沅蓉，周艳华副主编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本书出售、求购地址：https://www.jiaokey.com/book/detail/14632296.html</w:t>
      </w:r>
    </w:p>
    <w:p>
      <w:r>
        <w:t>更多相关图书推荐：https://www.jiaokey.com</w:t>
      </w:r>
    </w:p>
    <w:p>
      <w:r>
        <w:t>姚冲，暴秋实，黄佳俊主编；李沅蓉，周艳华副主编 其他作品：https://www.jiaokey.com/tag/姚冲，暴秋实，黄佳俊主编；李沅蓉，周艳华副主编.html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关键词搜索：https://www.jiaokey.com/tag/Illustrator CC中文全彩铂金版案例教程.html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