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纪斌，朱同波，赖联锋主编；潘克强，魏常武，林梅，李艳，高琴，李仁军，查长礼副主编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纪斌，朱同波，赖联锋主编；潘克强，魏常武，林梅，李艳，高琴，李仁军，查长礼副主编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本书出售、求购地址：https://www.jiaokey.com/book/detail/14630311.html</w:t>
      </w:r>
    </w:p>
    <w:p>
      <w:r>
        <w:t>更多相关图书推荐：https://www.jiaokey.com</w:t>
      </w:r>
    </w:p>
    <w:p>
      <w:r>
        <w:t>纪斌，朱同波，赖联锋主编；潘克强，魏常武，林梅，李艳，高琴，李仁军，查长礼副主编 其他作品：https://www.jiaokey.com/tag/纪斌，朱同波，赖联锋主编；潘克强，魏常武，林梅，李艳，高琴，李仁军，查长礼副主编.html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