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2017中文全彩铂金版案例教程</w:t>
      </w:r>
    </w:p>
    <w:p>
      <w:r>
        <w:rPr>
          <w:rFonts w:ascii="宋体" w:hAnsi="宋体" w:eastAsia="宋体"/>
          <w:sz w:val="24"/>
        </w:rPr>
        <w:t>高亚骏，付志春，衷文主编；邹努，封绪荣副主编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2017中文全彩铂金版案例教程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高亚骏，付志春，衷文主编；邹努，封绪荣副主编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本书出售、求购地址：https://www.jiaokey.com/book/detail/14630193.html</w:t>
      </w:r>
    </w:p>
    <w:p>
      <w:r>
        <w:t>更多相关图书推荐：https://www.jiaokey.com</w:t>
      </w:r>
    </w:p>
    <w:p>
      <w:r>
        <w:t>高亚骏，付志春，衷文主编；邹努，封绪荣副主编 其他作品：https://www.jiaokey.com/tag/高亚骏，付志春，衷文主编；邹努，封绪荣副主编.html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2017中文全彩铂金版案例教程.html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