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“四个全面”战略布局与党的执政能力建设  第3辑</w:t>
      </w:r>
    </w:p>
    <w:p>
      <w:r>
        <w:rPr>
          <w:rFonts w:ascii="宋体" w:hAnsi="宋体" w:eastAsia="宋体"/>
          <w:sz w:val="24"/>
        </w:rPr>
        <w:t>吕惠东主编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“四个全面”战略布局与党的执政能力建设  第3辑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吕惠东主编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武汉：华中师范大学出版社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本书出售、求购地址：https://www.jiaokey.com/book/detail/14629974.html</w:t>
      </w:r>
    </w:p>
    <w:p>
      <w:r>
        <w:t>更多相关图书推荐：https://www.jiaokey.com</w:t>
      </w:r>
    </w:p>
    <w:p>
      <w:r>
        <w:t>吕惠东主编 其他作品：https://www.jiaokey.com/tag/吕惠东主编.html</w:t>
      </w:r>
    </w:p>
    <w:p>
      <w:r>
        <w:t>武汉：华中师范大学出版社 出版图书：https://www.jiaokey.com/tag/武汉：华中师范大学出版社.html</w:t>
      </w:r>
    </w:p>
    <w:p>
      <w:r>
        <w:t>关键词搜索：https://www.jiaokey.com/tag/“四个全面”战略布局与党的执政能力建设  第3辑.html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