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数字逻辑设计基础</w:t>
      </w:r>
    </w:p>
    <w:p>
      <w:r>
        <w:rPr>
          <w:rFonts w:ascii="宋体" w:hAnsi="宋体" w:eastAsia="宋体"/>
          <w:sz w:val="24"/>
        </w:rPr>
        <w:t>何建新主编；曾祥萍副主编；邓娜，龚一光，黄金，李运洪，彭烨，宋婷，许诚昕参编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何建新主编；曾祥萍副主编；邓娜，龚一光，黄金，李运洪，彭烨，宋婷，许诚昕参编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本书出售、求购地址：https://www.jiaokey.com/book/detail/14629222.html</w:t>
      </w:r>
    </w:p>
    <w:p>
      <w:r>
        <w:t>更多相关图书推荐：https://www.jiaokey.com</w:t>
      </w:r>
    </w:p>
    <w:p>
      <w:r>
        <w:t>何建新主编；曾祥萍副主编；邓娜，龚一光，黄金，李运洪，彭烨，宋婷，许诚昕参编 其他作品：https://www.jiaokey.com/tag/何建新主编；曾祥萍副主编；邓娜，龚一光，黄金，李运洪，彭烨，宋婷，许诚昕参编.html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关键词搜索：https://www.jiaokey.com/tag/数字逻辑设计基础.html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