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好朋友，不赌气</w:t>
      </w:r>
    </w:p>
    <w:p>
      <w:r>
        <w:rPr>
          <w:rFonts w:ascii="宋体" w:hAnsi="宋体" w:eastAsia="宋体"/>
          <w:sz w:val="24"/>
        </w:rPr>
        <w:t>（法）乔治·瑞扎克文；（法）艾莲娜·勒内弗图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6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好朋友，不赌气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（法）乔治·瑞扎克文；（法）艾莲娜·勒内弗图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本书出售、求购地址：https://www.jiaokey.com/book/detail/14626903.html</w:t>
      </w:r>
    </w:p>
    <w:p>
      <w:r>
        <w:t>更多相关图书推荐：https://www.jiaokey.com</w:t>
      </w:r>
    </w:p>
    <w:p>
      <w:r>
        <w:t>（法）乔治·瑞扎克文；（法）艾莲娜·勒内弗图 其他作品：https://www.jiaokey.com/tag/（法）乔治·瑞扎克文；（法）艾莲娜·勒内弗图.html</w:t>
      </w:r>
    </w:p>
    <w:p>
      <w:r>
        <w:t>文化发展出版社,2016.05 出版图书：https://www.jiaokey.com/tag/文化发展出版社,2016.05.html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