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创业指导手册</w:t>
      </w:r>
    </w:p>
    <w:p>
      <w:r>
        <w:rPr>
          <w:rFonts w:ascii="宋体" w:hAnsi="宋体" w:eastAsia="宋体"/>
          <w:sz w:val="24"/>
        </w:rPr>
        <w:t>盛振文，陈淑英主编；蒋冉冉，曹林林副主编；魏青琳，孟兆芬，赵欣参编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盛振文，陈淑英主编；蒋冉冉，曹林林副主编；魏青琳，孟兆芬，赵欣参编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本书出售、求购地址：https://www.jiaokey.com/book/detail/14625776.html</w:t>
      </w:r>
    </w:p>
    <w:p>
      <w:r>
        <w:t>更多相关图书推荐：https://www.jiaokey.com</w:t>
      </w:r>
    </w:p>
    <w:p>
      <w:r>
        <w:t>盛振文，陈淑英主编；蒋冉冉，曹林林副主编；魏青琳，孟兆芬，赵欣参编 其他作品：https://www.jiaokey.com/tag/盛振文，陈淑英主编；蒋冉冉，曹林林副主编；魏青琳，孟兆芬，赵欣参编.html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