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企业战略管理要义及进展  基于实践的视角</w:t>
      </w:r>
    </w:p>
    <w:p>
      <w:r>
        <w:rPr>
          <w:rFonts w:ascii="宋体" w:hAnsi="宋体" w:eastAsia="宋体"/>
          <w:sz w:val="24"/>
        </w:rPr>
        <w:t>宋娜责任编辑；陶晓红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企业战略管理要义及进展  基于实践的视角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宋娜责任编辑；陶晓红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本书出售、求购地址：https://www.jiaokey.com/book/detail/14621480.html</w:t>
      </w:r>
    </w:p>
    <w:p>
      <w:r>
        <w:t>更多相关图书推荐：https://www.jiaokey.com</w:t>
      </w:r>
    </w:p>
    <w:p>
      <w:r>
        <w:t>宋娜责任编辑；陶晓红 其他作品：https://www.jiaokey.com/tag/宋娜责任编辑；陶晓红.html</w:t>
      </w:r>
    </w:p>
    <w:p>
      <w:r>
        <w:t>北京：经济管理出版社 出版图书：https://www.jiaokey.com/tag/北京：经济管理出版社.html</w:t>
      </w:r>
    </w:p>
    <w:p>
      <w:r>
        <w:t>关键词搜索：https://www.jiaokey.com/tag/企业战略管理要义及进展  基于实践的视角.html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