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精品葡萄详解</w:t>
      </w:r>
    </w:p>
    <w:p>
      <w:r>
        <w:rPr>
          <w:rFonts w:ascii="宋体" w:hAnsi="宋体" w:eastAsia="宋体"/>
          <w:sz w:val="24"/>
        </w:rPr>
        <w:t>朴海玉责任编辑；（日）《葡萄酒艺术》编辑部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精品葡萄详解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朴海玉责任编辑；（日）《葡萄酒艺术》编辑部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本书出售、求购地址：https://www.jiaokey.com/book/detail/14621432.html</w:t>
      </w:r>
    </w:p>
    <w:p>
      <w:r>
        <w:t>更多相关图书推荐：https://www.jiaokey.com</w:t>
      </w:r>
    </w:p>
    <w:p>
      <w:r>
        <w:t>朴海玉责任编辑；（日）《葡萄酒艺术》编辑部 其他作品：https://www.jiaokey.com/tag/朴海玉责任编辑；（日）《葡萄酒艺术》编辑部.html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关键词搜索：https://www.jiaokey.com/tag/精品葡萄详解.html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