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最新公安机关刑事法律文书制作要求与写作方法及范例大全</w:t>
      </w:r>
    </w:p>
    <w:p>
      <w:r>
        <w:rPr>
          <w:rFonts w:ascii="宋体" w:hAnsi="宋体" w:eastAsia="宋体"/>
          <w:sz w:val="24"/>
        </w:rPr>
        <w:t>王东祁编著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最新公安机关刑事法律文书制作要求与写作方法及范例大全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本书出售、求购地址：https://www.jiaokey.com/book/detail/14621060.html</w:t>
      </w:r>
    </w:p>
    <w:p>
      <w:r>
        <w:t>更多相关图书推荐：https://www.jiaokey.com</w:t>
      </w:r>
    </w:p>
    <w:p>
      <w:r>
        <w:t>王东祁编著 其他作品：https://www.jiaokey.com/tag/王东祁编著.html</w:t>
      </w:r>
    </w:p>
    <w:p>
      <w:r>
        <w:t>中国知识出版社 出版图书：https://www.jiaokey.com/tag/中国知识出版社.html</w:t>
      </w:r>
    </w:p>
    <w:p>
      <w:r>
        <w:t>关键词搜索：https://www.jiaokey.com/tag/最新公安机关刑事法律文书制作要求与写作方法及范例大全.html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