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高校常设形体类课程教学内容的解析</w:t>
      </w:r>
    </w:p>
    <w:p>
      <w:r>
        <w:rPr>
          <w:rFonts w:ascii="宋体" w:hAnsi="宋体" w:eastAsia="宋体"/>
          <w:sz w:val="24"/>
        </w:rPr>
        <w:t>王碧怡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高校常设形体类课程教学内容的解析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本书出售、求购地址：https://www.jiaokey.com/book/detail/14620380.html</w:t>
      </w:r>
    </w:p>
    <w:p>
      <w:r>
        <w:t>更多相关图书推荐：https://www.jiaokey.com</w:t>
      </w:r>
    </w:p>
    <w:p>
      <w:r>
        <w:t>王碧怡 其他作品：https://www.jiaokey.com/tag/王碧怡.html</w:t>
      </w:r>
    </w:p>
    <w:p>
      <w:r>
        <w:t>关键词搜索：https://www.jiaokey.com/tag/高校常设形体类课程教学内容的解析.html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