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此生仗剑任疏狂  上</w:t>
      </w:r>
    </w:p>
    <w:p>
      <w:r>
        <w:rPr>
          <w:rFonts w:ascii="宋体" w:hAnsi="宋体" w:eastAsia="宋体"/>
          <w:sz w:val="24"/>
        </w:rPr>
        <w:t>墨武辰著；原若森绘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此生仗剑任疏狂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墨武辰著；原若森绘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本书出售、求购地址：https://www.jiaokey.com/book/detail/14618629.html</w:t>
      </w:r>
    </w:p>
    <w:p>
      <w:r>
        <w:t>更多相关图书推荐：https://www.jiaokey.com</w:t>
      </w:r>
    </w:p>
    <w:p>
      <w:r>
        <w:t>墨武辰著；原若森绘 其他作品：https://www.jiaokey.com/tag/墨武辰著；原若森绘.html</w:t>
      </w:r>
    </w:p>
    <w:p>
      <w:r>
        <w:t>呼和浩特:远方出版社,2008.11 出版图书：https://www.jiaokey.com/tag/呼和浩特:远方出版社,2008.11.html</w:t>
      </w:r>
    </w:p>
    <w:p>
      <w:r>
        <w:t>关键词搜索：https://www.jiaokey.com/tag/此生仗剑任疏狂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