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建筑设计子结构精细化分析  基于SAP2000的有限元求解</w:t>
      </w:r>
    </w:p>
    <w:p>
      <w:r>
        <w:rPr>
          <w:rFonts w:ascii="宋体" w:hAnsi="宋体" w:eastAsia="宋体"/>
          <w:sz w:val="24"/>
        </w:rPr>
        <w:t>李天虹责任编辑；康永君，张晋芳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建筑设计子结构精细化分析  基于SAP2000的有限元求解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李天虹责任编辑；康永君，张晋芳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本书出售、求购地址：https://www.jiaokey.com/book/detail/14615192.html</w:t>
      </w:r>
    </w:p>
    <w:p>
      <w:r>
        <w:t>更多相关图书推荐：https://www.jiaokey.com</w:t>
      </w:r>
    </w:p>
    <w:p>
      <w:r>
        <w:t>李天虹责任编辑；康永君，张晋芳 其他作品：https://www.jiaokey.com/tag/李天虹责任编辑；康永君，张晋芳.html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关键词搜索：https://www.jiaokey.com/tag/建筑设计子结构精细化分析  基于SAP2000的有限元求解.html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