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12cR2 In-Memory性能优化实战</w:t>
      </w:r>
    </w:p>
    <w:p>
      <w:r>
        <w:rPr>
          <w:rFonts w:ascii="宋体" w:hAnsi="宋体" w:eastAsia="宋体"/>
          <w:sz w:val="24"/>
        </w:rPr>
        <w:t>王军责任编辑；张骏温，许向东，王健译；（美）乔吉特·班纳吉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12cR2 In-Memory性能优化实战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王军责任编辑；张骏温，许向东，王健译；（美）乔吉特·班纳吉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本书出售、求购地址：https://www.jiaokey.com/book/detail/14615148.html</w:t>
      </w:r>
    </w:p>
    <w:p>
      <w:r>
        <w:t>更多相关图书推荐：https://www.jiaokey.com</w:t>
      </w:r>
    </w:p>
    <w:p>
      <w:r>
        <w:t>王军责任编辑；张骏温，许向东，王健译；（美）乔吉特·班纳吉 其他作品：https://www.jiaokey.com/tag/王军责任编辑；张骏温，许向东，王健译；（美）乔吉特·班纳吉.html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12cR2 In-Memory性能优化实战.html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