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全本水浒传  1</w:t>
      </w:r>
    </w:p>
    <w:p>
      <w:r>
        <w:rPr>
          <w:rFonts w:ascii="宋体" w:hAnsi="宋体" w:eastAsia="宋体"/>
          <w:sz w:val="24"/>
        </w:rPr>
        <w:t>（明）施耐庵原著；赵成伟，魏为等绘画；雪岗序；迟赵俄，余以德校点注释整理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全本水浒传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（明）施耐庵原著；赵成伟，魏为等绘画；雪岗序；迟赵俄，余以德校点注释整理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本书出售、求购地址：https://www.jiaokey.com/book/detail/14613812.html</w:t>
      </w:r>
    </w:p>
    <w:p>
      <w:r>
        <w:t>更多相关图书推荐：https://www.jiaokey.com</w:t>
      </w:r>
    </w:p>
    <w:p>
      <w:r>
        <w:t>（明）施耐庵原著；赵成伟，魏为等绘画；雪岗序；迟赵俄，余以德校点注释整理 其他作品：https://www.jiaokey.com/tag/（明）施耐庵原著；赵成伟，魏为等绘画；雪岗序；迟赵俄，余以德校点注释整理.html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关键词搜索：https://www.jiaokey.com/tag/全本水浒传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