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自由意志与普遍规范  黑格尔法哲学研究</w:t>
      </w:r>
    </w:p>
    <w:p>
      <w:r>
        <w:rPr>
          <w:rFonts w:ascii="宋体" w:hAnsi="宋体" w:eastAsia="宋体"/>
          <w:sz w:val="24"/>
        </w:rPr>
        <w:t>李育书著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自由意志与普遍规范  黑格尔法哲学研究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本书出售、求购地址：https://www.jiaokey.com/book/detail/14612181.html</w:t>
      </w:r>
    </w:p>
    <w:p>
      <w:r>
        <w:t>更多相关图书推荐：https://www.jiaokey.com</w:t>
      </w:r>
    </w:p>
    <w:p>
      <w:r>
        <w:t>李育书著 其他作品：https://www.jiaokey.com/tag/李育书著.html</w:t>
      </w:r>
    </w:p>
    <w:p>
      <w:r>
        <w:t>关键词搜索：https://www.jiaokey.com/tag/自由意志与普遍规范  黑格尔法哲学研究.html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