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供应链生命周期合作关系的影响机理与协调策略</w:t>
      </w:r>
    </w:p>
    <w:p>
      <w:r>
        <w:rPr>
          <w:rFonts w:ascii="宋体" w:hAnsi="宋体" w:eastAsia="宋体"/>
          <w:sz w:val="24"/>
        </w:rPr>
        <w:t>王利，黄颖著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供应链生命周期合作关系的影响机理与协调策略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王利，黄颖著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本书出售、求购地址：https://www.jiaokey.com/book/detail/14611765.html</w:t>
      </w:r>
    </w:p>
    <w:p>
      <w:r>
        <w:t>更多相关图书推荐：https://www.jiaokey.com</w:t>
      </w:r>
    </w:p>
    <w:p>
      <w:r>
        <w:t>王利，黄颖著 其他作品：https://www.jiaokey.com/tag/王利，黄颖著.html</w:t>
      </w:r>
    </w:p>
    <w:p>
      <w:r>
        <w:t>中国财富出版社 出版图书：https://www.jiaokey.com/tag/中国财富出版社.html</w:t>
      </w:r>
    </w:p>
    <w:p>
      <w:r>
        <w:t>关键词搜索：https://www.jiaokey.com/tag/供应链生命周期合作关系的影响机理与协调策略.html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