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游戏动漫角色动作设定集  女子格斗</w:t>
      </w:r>
    </w:p>
    <w:p>
      <w:r>
        <w:rPr>
          <w:rFonts w:ascii="宋体" w:hAnsi="宋体" w:eastAsia="宋体"/>
          <w:sz w:val="24"/>
        </w:rPr>
        <w:t>（日）柄泽功审定；（日）小野寺广信摄影；孙大兴译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游戏动漫角色动作设定集  女子格斗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（日）柄泽功审定；（日）小野寺广信摄影；孙大兴译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本书出售、求购地址：https://www.jiaokey.com/book/detail/14611575.html</w:t>
      </w:r>
    </w:p>
    <w:p>
      <w:r>
        <w:t>更多相关图书推荐：https://www.jiaokey.com</w:t>
      </w:r>
    </w:p>
    <w:p>
      <w:r>
        <w:t>（日）柄泽功审定；（日）小野寺广信摄影；孙大兴译 其他作品：https://www.jiaokey.com/tag/（日）柄泽功审定；（日）小野寺广信摄影；孙大兴译.html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关键词搜索：https://www.jiaokey.com/tag/游戏动漫角色动作设定集  女子格斗.html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