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北京市率先形成消费拉动型经济发展模式研究  基于居民消费的视角</w:t>
      </w:r>
    </w:p>
    <w:p>
      <w:r>
        <w:rPr>
          <w:rFonts w:ascii="宋体" w:hAnsi="宋体" w:eastAsia="宋体"/>
          <w:sz w:val="24"/>
        </w:rPr>
        <w:t>魏中龙等著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北京市率先形成消费拉动型经济发展模式研究  基于居民消费的视角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本书出售、求购地址：https://www.jiaokey.com/book/detail/14609066.html</w:t>
      </w:r>
    </w:p>
    <w:p>
      <w:r>
        <w:t>更多相关图书推荐：https://www.jiaokey.com</w:t>
      </w:r>
    </w:p>
    <w:p>
      <w:r>
        <w:t>魏中龙等著 其他作品：https://www.jiaokey.com/tag/魏中龙等著.html</w:t>
      </w:r>
    </w:p>
    <w:p>
      <w:r>
        <w:t>中国财富出版社 出版图书：https://www.jiaokey.com/tag/中国财富出版社.html</w:t>
      </w:r>
    </w:p>
    <w:p>
      <w:r>
        <w:t>关键词搜索：https://www.jiaokey.com/tag/北京市率先形成消费拉动型经济发展模式研究  基于居民消费的视角.html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