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英语学习指导</w:t>
      </w:r>
    </w:p>
    <w:p>
      <w:r>
        <w:rPr>
          <w:rFonts w:ascii="宋体" w:hAnsi="宋体" w:eastAsia="宋体"/>
          <w:sz w:val="24"/>
        </w:rPr>
        <w:t>王萍主编；杨桂英副主编；李尚蓉，郭健，魏睿，任娲，陈玲参编；刘芳，肖伟主审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王萍主编；杨桂英副主编；李尚蓉，郭健，魏睿，任娲，陈玲参编；刘芳，肖伟主审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本书出售、求购地址：https://www.jiaokey.com/book/detail/14606127.html</w:t>
      </w:r>
    </w:p>
    <w:p>
      <w:r>
        <w:t>更多相关图书推荐：https://www.jiaokey.com</w:t>
      </w:r>
    </w:p>
    <w:p>
      <w:r>
        <w:t>王萍主编；杨桂英副主编；李尚蓉，郭健，魏睿，任娲，陈玲参编；刘芳，肖伟主审 其他作品：https://www.jiaokey.com/tag/王萍主编；杨桂英副主编；李尚蓉，郭健，魏睿，任娲，陈玲参编；刘芳，肖伟主审.html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关键词搜索：https://www.jiaokey.com/tag/英语学习指导.html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