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二、公共文化设施网络建设  4、地、县两级公共文化服务设施建设  （7）建成流动文化服务设施网络，市县两级文化馆、图书馆具备一定流动服务能力（地区）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二、公共文化设施网络建设  4、地、县两级公共文化服务设施建设  （7）建成流动文化服务设施网络，市县两级文化馆、图书馆具备一定流动服务能力（地区）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本书出售、求购地址：https://www.jiaokey.com/book/detail/14605851.html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二、公共文化设施网络建设  4、地、县两级公共文化服务设施建设  （7）建成流动文化服务设施网络，市县两级文化馆、图书馆具备一定流动服务能力（地区）.html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