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过程管理规定  建立领导机制、建立联络员制度、建立经费管理制度、建立督导检查制度、建立创建规划和制度设计监管机制、建立信息报送及宣传评分制度、“春雨工程”和“大地情深”（地区）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过程管理规定  建立领导机制、建立联络员制度、建立经费管理制度、建立督导检查制度、建立创建规划和制度设计监管机制、建立信息报送及宣传评分制度、“春雨工程”和“大地情深”（地区）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本书出售、求购地址：https://www.jiaokey.com/book/detail/14605842.html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过程管理规定  建立领导机制、建立联络员制度、建立经费管理制度、建立督导检查制度、建立创建规划和制度设计监管机制、建立信息报送及宣传评分制度、“春雨工程”和“大地情深”（地区）.html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