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</w:t>
      </w:r>
    </w:p>
    <w:p>
      <w:r>
        <w:rPr>
          <w:rFonts w:ascii="宋体" w:hAnsi="宋体" w:eastAsia="宋体"/>
          <w:sz w:val="24"/>
        </w:rPr>
        <w:t>夏占国，吴才轩，李忻忻主编；戴永平，李乐，冯莹，段树萍等副主编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夏占国，吴才轩，李忻忻主编；戴永平，李乐，冯莹，段树萍等副主编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本书出售、求购地址：https://www.jiaokey.com/book/detail/14604917.html</w:t>
      </w:r>
    </w:p>
    <w:p>
      <w:r>
        <w:t>更多相关图书推荐：https://www.jiaokey.com</w:t>
      </w:r>
    </w:p>
    <w:p>
      <w:r>
        <w:t>夏占国，吴才轩，李忻忻主编；戴永平，李乐，冯莹，段树萍等副主编 其他作品：https://www.jiaokey.com/tag/夏占国，吴才轩，李忻忻主编；戴永平，李乐，冯莹，段树萍等副主编.html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关键词搜索：https://www.jiaokey.com/tag/建筑工程经济.html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