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办理职务犯罪案件最新认定追诉处罚标准</w:t>
      </w:r>
    </w:p>
    <w:p>
      <w:r>
        <w:rPr>
          <w:rFonts w:ascii="宋体" w:hAnsi="宋体" w:eastAsia="宋体"/>
          <w:sz w:val="24"/>
        </w:rPr>
        <w:t>谷福生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办理职务犯罪案件最新认定追诉处罚标准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本书出售、求购地址：https://www.jiaokey.com/book/detail/14601612.html</w:t>
      </w:r>
    </w:p>
    <w:p>
      <w:r>
        <w:t>更多相关图书推荐：https://www.jiaokey.com</w:t>
      </w:r>
    </w:p>
    <w:p>
      <w:r>
        <w:t>谷福生 其他作品：https://www.jiaokey.com/tag/谷福生.html</w:t>
      </w:r>
    </w:p>
    <w:p>
      <w:r>
        <w:t>关键词搜索：https://www.jiaokey.com/tag/办理职务犯罪案件最新认定追诉处罚标准.html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