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中国现代民事审判权论  为民服务型民事审判权的构筑与实践</w:t>
      </w:r>
    </w:p>
    <w:p>
      <w:r>
        <w:rPr>
          <w:rFonts w:ascii="宋体" w:hAnsi="宋体" w:eastAsia="宋体"/>
          <w:sz w:val="24"/>
        </w:rPr>
        <w:t>黄松有著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中国现代民事审判权论  为民服务型民事审判权的构筑与实践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本书出售、求购地址：https://www.jiaokey.com/book/detail/14601580.html</w:t>
      </w:r>
    </w:p>
    <w:p>
      <w:r>
        <w:t>更多相关图书推荐：https://www.jiaokey.com</w:t>
      </w:r>
    </w:p>
    <w:p>
      <w:r>
        <w:t>黄松有著 其他作品：https://www.jiaokey.com/tag/黄松有著.html</w:t>
      </w:r>
    </w:p>
    <w:p>
      <w:r>
        <w:t>关键词搜索：https://www.jiaokey.com/tag/中国现代民事审判权论  为民服务型民事审判权的构筑与实践.html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