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  计算思维能力培养理论篇</w:t>
      </w:r>
    </w:p>
    <w:p>
      <w:r>
        <w:rPr>
          <w:rFonts w:ascii="宋体" w:hAnsi="宋体" w:eastAsia="宋体"/>
          <w:sz w:val="24"/>
        </w:rPr>
        <w:t>姜庆娜，张海林，杜忠友，靳天飞，解艳艳，赵欣，孙晓燕，姜玉波等编著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  计算思维能力培养理论篇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姜庆娜，张海林，杜忠友，靳天飞，解艳艳，赵欣，孙晓燕，姜玉波等编著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本书出售、求购地址：https://www.jiaokey.com/book/detail/14599499.html</w:t>
      </w:r>
    </w:p>
    <w:p>
      <w:r>
        <w:t>更多相关图书推荐：https://www.jiaokey.com</w:t>
      </w:r>
    </w:p>
    <w:p>
      <w:r>
        <w:t>姜庆娜，张海林，杜忠友，靳天飞，解艳艳，赵欣，孙晓燕，姜玉波等编著 其他作品：https://www.jiaokey.com/tag/姜庆娜，张海林，杜忠友，靳天飞，解艳艳，赵欣，孙晓燕，姜玉波等编著.html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  计算思维能力培养理论篇.html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