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书名：碰撞  对话与交融  就尹一桑《第二交响乐》论其后期创作思维的主要特征</w:t>
      </w:r>
    </w:p>
    <w:p>
      <w:r>
        <w:t>作者：张千一著</w:t>
      </w:r>
    </w:p>
    <w:p>
      <w:r>
        <w:t>出版社：北京：人民音乐出版社</w:t>
      </w:r>
    </w:p>
    <w:p>
      <w:r>
        <w:t>出版日期：2018.08</w:t>
      </w:r>
    </w:p>
    <w:p>
      <w:r>
        <w:t>总页数：166</w:t>
      </w:r>
    </w:p>
    <w:p>
      <w:r>
        <w:t>更多请访问教客网: www.jiaokey.com</w:t>
      </w:r>
    </w:p>
    <w:p>
      <w:r>
        <w:t>碰撞  对话与交融  就尹一桑《第二交响乐》论其后期创作思维的主要特征 评论地址：https://www.jiaokey.com/book/detail/14599053.html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