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农村基层治理困境及民众参与机制构建</w:t>
      </w:r>
    </w:p>
    <w:p>
      <w:r>
        <w:rPr>
          <w:rFonts w:ascii="宋体" w:hAnsi="宋体" w:eastAsia="宋体"/>
          <w:sz w:val="24"/>
        </w:rPr>
        <w:t>杨林霞，陶海柱，石燕捷，丁媛著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农村基层治理困境及民众参与机制构建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杨林霞，陶海柱，石燕捷，丁媛著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本书出售、求购地址：https://www.jiaokey.com/book/detail/14596502.html</w:t>
      </w:r>
    </w:p>
    <w:p>
      <w:r>
        <w:t>更多相关图书推荐：https://www.jiaokey.com</w:t>
      </w:r>
    </w:p>
    <w:p>
      <w:r>
        <w:t>杨林霞，陶海柱，石燕捷，丁媛著 其他作品：https://www.jiaokey.com/tag/杨林霞，陶海柱，石燕捷，丁媛著.html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关键词搜索：https://www.jiaokey.com/tag/农村基层治理困境及民众参与机制构建.html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