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私有化的局限</w:t>
      </w:r>
    </w:p>
    <w:p>
      <w:r>
        <w:rPr>
          <w:rFonts w:ascii="宋体" w:hAnsi="宋体" w:eastAsia="宋体"/>
          <w:sz w:val="24"/>
        </w:rPr>
        <w:t>（德）魏伯乐，（美）奥兰·扬，（瑞士）马塞厄斯·芬格主编；王小卫，周缨译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私有化的局限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（德）魏伯乐，（美）奥兰·扬，（瑞士）马塞厄斯·芬格主编；王小卫，周缨译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本书出售、求购地址：https://www.jiaokey.com/book/detail/14596498.html</w:t>
      </w:r>
    </w:p>
    <w:p>
      <w:r>
        <w:t>更多相关图书推荐：https://www.jiaokey.com</w:t>
      </w:r>
    </w:p>
    <w:p>
      <w:r>
        <w:t>（德）魏伯乐，（美）奥兰·扬，（瑞士）马塞厄斯·芬格主编；王小卫，周缨译 其他作品：https://www.jiaokey.com/tag/（德）魏伯乐，（美）奥兰·扬，（瑞士）马塞厄斯·芬格主编；王小卫，周缨译.html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关键词搜索：https://www.jiaokey.com/tag/私有化的局限.html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