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变配电运行  35kV及以下</w:t>
      </w:r>
    </w:p>
    <w:p>
      <w:r>
        <w:rPr>
          <w:rFonts w:ascii="宋体" w:hAnsi="宋体" w:eastAsia="宋体"/>
          <w:sz w:val="24"/>
        </w:rPr>
        <w:t>张兴然，武文平主编；赵进忠，邓国新副主编；袁卫华程序编写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变配电运行  35kV及以下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张兴然，武文平主编；赵进忠，邓国新副主编；袁卫华程序编写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本书出售、求购地址：https://www.jiaokey.com/book/detail/14595151.html</w:t>
      </w:r>
    </w:p>
    <w:p>
      <w:r>
        <w:t>更多相关图书推荐：https://www.jiaokey.com</w:t>
      </w:r>
    </w:p>
    <w:p>
      <w:r>
        <w:t>张兴然，武文平主编；赵进忠，邓国新副主编；袁卫华程序编写 其他作品：https://www.jiaokey.com/tag/张兴然，武文平主编；赵进忠，邓国新副主编；袁卫华程序编写.html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变配电运行  35kV及以下.html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