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社会主义初级阶段理论经济学</w:t>
      </w:r>
    </w:p>
    <w:p>
      <w:r>
        <w:rPr>
          <w:rFonts w:ascii="宋体" w:hAnsi="宋体" w:eastAsia="宋体"/>
          <w:sz w:val="24"/>
        </w:rPr>
        <w:t>赵有信策划；赵有信，刘树洪，谢佳伟，任立新，吕丽卿，李新慧，邢红梅著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赵有信策划；赵有信，刘树洪，谢佳伟，任立新，吕丽卿，李新慧，邢红梅著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本书出售、求购地址：https://www.jiaokey.com/book/detail/14595034.html</w:t>
      </w:r>
    </w:p>
    <w:p>
      <w:r>
        <w:t>更多相关图书推荐：https://www.jiaokey.com</w:t>
      </w:r>
    </w:p>
    <w:p>
      <w:r>
        <w:t>赵有信策划；赵有信，刘树洪，谢佳伟，任立新，吕丽卿，李新慧，邢红梅著 其他作品：https://www.jiaokey.com/tag/赵有信策划；赵有信，刘树洪，谢佳伟，任立新，吕丽卿，李新慧，邢红梅著.html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关键词搜索：https://www.jiaokey.com/tag/社会主义初级阶段理论经济学.html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