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</w:t>
      </w:r>
    </w:p>
    <w:p>
      <w:r>
        <w:rPr>
          <w:rFonts w:ascii="宋体" w:hAnsi="宋体" w:eastAsia="宋体"/>
          <w:sz w:val="24"/>
        </w:rPr>
        <w:t>牛红云，严晓玲主编；许子刚，薛贵彬副主编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牛红云，严晓玲主编；许子刚，薛贵彬副主编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本书出售、求购地址：https://www.jiaokey.com/book/detail/14593377.html</w:t>
      </w:r>
    </w:p>
    <w:p>
      <w:r>
        <w:t>更多相关图书推荐：https://www.jiaokey.com</w:t>
      </w:r>
    </w:p>
    <w:p>
      <w:r>
        <w:t>牛红云，严晓玲主编；许子刚，薛贵彬副主编 其他作品：https://www.jiaokey.com/tag/牛红云，严晓玲主编；许子刚，薛贵彬副主编.html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