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威科夫证券交易策略:顶级交易员深入解读</w:t>
      </w:r>
    </w:p>
    <w:p>
      <w:r>
        <w:rPr>
          <w:rFonts w:ascii="宋体" w:hAnsi="宋体" w:eastAsia="宋体"/>
          <w:sz w:val="24"/>
        </w:rPr>
        <w:t>（美）理查德·D·威科夫原著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威科夫证券交易策略:顶级交易员深入解读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（美）理查德·D·威科夫原著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本书出售、求购地址：https://www.jiaokey.com/book/detail/14590161.html</w:t>
      </w:r>
    </w:p>
    <w:p>
      <w:r>
        <w:t>更多相关图书推荐：https://www.jiaokey.com</w:t>
      </w:r>
    </w:p>
    <w:p>
      <w:r>
        <w:t>（美）理查德·D·威科夫原著 其他作品：https://www.jiaokey.com/tag/（美）理查德·D·威科夫原著.html</w:t>
      </w:r>
    </w:p>
    <w:p>
      <w:r>
        <w:t>关键词搜索：https://www.jiaokey.com/tag/威科夫证券交易策略:顶级交易员深入解读.html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