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服装缝纫专业技法</w:t>
      </w:r>
    </w:p>
    <w:p>
      <w:r>
        <w:rPr>
          <w:rFonts w:ascii="宋体" w:hAnsi="宋体" w:eastAsia="宋体"/>
          <w:sz w:val="24"/>
        </w:rPr>
        <w:t>（日）百目鬼尚子，牧野志保子著；刘晓冉译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服装缝纫专业技法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（日）百目鬼尚子，牧野志保子著；刘晓冉译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本书出售、求购地址：https://www.jiaokey.com/book/detail/14587414.html</w:t>
      </w:r>
    </w:p>
    <w:p>
      <w:r>
        <w:t>更多相关图书推荐：https://www.jiaokey.com</w:t>
      </w:r>
    </w:p>
    <w:p>
      <w:r>
        <w:t>（日）百目鬼尚子，牧野志保子著；刘晓冉译 其他作品：https://www.jiaokey.com/tag/（日）百目鬼尚子，牧野志保子著；刘晓冉译.html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关键词搜索：https://www.jiaokey.com/tag/服装缝纫专业技法.html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