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高速公路下伏急倾斜采空区治理技术</w:t>
      </w:r>
    </w:p>
    <w:p>
      <w:r>
        <w:rPr>
          <w:rFonts w:ascii="宋体" w:hAnsi="宋体" w:eastAsia="宋体"/>
          <w:sz w:val="24"/>
        </w:rPr>
        <w:t>包卫星，来弘鹏，任建军，蔡明娟编著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高速公路下伏急倾斜采空区治理技术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包卫星，来弘鹏，任建军，蔡明娟编著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本书出售、求购地址：https://www.jiaokey.com/book/detail/14585186.html</w:t>
      </w:r>
    </w:p>
    <w:p>
      <w:r>
        <w:t>更多相关图书推荐：https://www.jiaokey.com</w:t>
      </w:r>
    </w:p>
    <w:p>
      <w:r>
        <w:t>包卫星，来弘鹏，任建军，蔡明娟编著 其他作品：https://www.jiaokey.com/tag/包卫星，来弘鹏，任建军，蔡明娟编著.html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关键词搜索：https://www.jiaokey.com/tag/高速公路下伏急倾斜采空区治理技术.html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