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第4编  9  中国名学  先秦辨学史  惠施公孙龙  公孙龙子考  吕氏春秋政治思想论</w:t>
      </w:r>
    </w:p>
    <w:p>
      <w:r>
        <w:rPr>
          <w:rFonts w:ascii="宋体" w:hAnsi="宋体" w:eastAsia="宋体"/>
          <w:sz w:val="24"/>
        </w:rPr>
        <w:t>虞愚，郭湛波，钱穆，胡道静，黄大受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第4编  9  中国名学  先秦辨学史  惠施公孙龙  公孙龙子考  吕氏春秋政治思想论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虞愚，郭湛波，钱穆，胡道静，黄大受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本书出售、求购地址：https://www.jiaokey.com/book/detail/14584210.html</w:t>
      </w:r>
    </w:p>
    <w:p>
      <w:r>
        <w:t>更多相关图书推荐：https://www.jiaokey.com</w:t>
      </w:r>
    </w:p>
    <w:p>
      <w:r>
        <w:t>虞愚，郭湛波，钱穆，胡道静，黄大受 其他作品：https://www.jiaokey.com/tag/虞愚，郭湛波，钱穆，胡道静，黄大受.html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第4编  9  中国名学  先秦辨学史  惠施公孙龙  公孙龙子考  吕氏春秋政治思想论.html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