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北疆森林植被生态特征</w:t>
      </w:r>
    </w:p>
    <w:p>
      <w:r>
        <w:rPr>
          <w:rFonts w:ascii="宋体" w:hAnsi="宋体" w:eastAsia="宋体"/>
          <w:sz w:val="24"/>
        </w:rPr>
        <w:t>臧润国，井学辉，刘华，刘贵峰，丁易，成克武，张军，吴晓成，张新平，刘萍，张志东，王计平等著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北疆森林植被生态特征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臧润国，井学辉，刘华，刘贵峰，丁易，成克武，张军，吴晓成，张新平，刘萍，张志东，王计平等著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本书出售、求购地址：https://www.jiaokey.com/book/detail/14583287.html</w:t>
      </w:r>
    </w:p>
    <w:p>
      <w:r>
        <w:t>更多相关图书推荐：https://www.jiaokey.com</w:t>
      </w:r>
    </w:p>
    <w:p>
      <w:r>
        <w:t>臧润国，井学辉，刘华，刘贵峰，丁易，成克武，张军，吴晓成，张新平，刘萍，张志东，王计平等著 其他作品：https://www.jiaokey.com/tag/臧润国，井学辉，刘华，刘贵峰，丁易，成克武，张军，吴晓成，张新平，刘萍，张志东，王计平等著.html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关键词搜索：https://www.jiaokey.com/tag/北疆森林植被生态特征.html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