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电加工编程与操作  任务驱动模式</w:t>
      </w:r>
    </w:p>
    <w:p>
      <w:r>
        <w:rPr>
          <w:rFonts w:ascii="宋体" w:hAnsi="宋体" w:eastAsia="宋体"/>
          <w:sz w:val="24"/>
        </w:rPr>
        <w:t>林涛，谭成智主编；李虎，李宝柱副主编；朱逢喜，陈大标参编；陈卫民主审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电加工编程与操作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林涛，谭成智主编；李虎，李宝柱副主编；朱逢喜，陈大标参编；陈卫民主审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本书出售、求购地址：https://www.jiaokey.com/book/detail/14583211.html</w:t>
      </w:r>
    </w:p>
    <w:p>
      <w:r>
        <w:t>更多相关图书推荐：https://www.jiaokey.com</w:t>
      </w:r>
    </w:p>
    <w:p>
      <w:r>
        <w:t>林涛，谭成智主编；李虎，李宝柱副主编；朱逢喜，陈大标参编；陈卫民主审 其他作品：https://www.jiaokey.com/tag/林涛，谭成智主编；李虎，李宝柱副主编；朱逢喜，陈大标参编；陈卫民主审.html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关键词搜索：https://www.jiaokey.com/tag/电加工编程与操作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