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国家规模、需求驱动和经济发展动力</w:t>
      </w:r>
    </w:p>
    <w:p>
      <w:r>
        <w:rPr>
          <w:rFonts w:ascii="宋体" w:hAnsi="宋体" w:eastAsia="宋体"/>
          <w:sz w:val="24"/>
        </w:rPr>
        <w:t>杜焱著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国家规模、需求驱动和经济发展动力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本书出售、求购地址：https://www.jiaokey.com/book/detail/14582159.html</w:t>
      </w:r>
    </w:p>
    <w:p>
      <w:r>
        <w:t>更多相关图书推荐：https://www.jiaokey.com</w:t>
      </w:r>
    </w:p>
    <w:p>
      <w:r>
        <w:t>杜焱著 其他作品：https://www.jiaokey.com/tag/杜焱著.html</w:t>
      </w:r>
    </w:p>
    <w:p>
      <w:r>
        <w:t>关键词搜索：https://www.jiaokey.com/tag/国家规模、需求驱动和经济发展动力.html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